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98AF" w14:textId="016DBFB4" w:rsidR="00301BDF" w:rsidRDefault="00301BDF" w:rsidP="00301BDF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</w:p>
    <w:p w14:paraId="3DA23589" w14:textId="77777777" w:rsidR="00301BDF" w:rsidRPr="00614A4C" w:rsidRDefault="007D1F58" w:rsidP="00301BDF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proofErr w:type="spellStart"/>
      <w:r>
        <w:rPr>
          <w:rFonts w:ascii="Helvetica Neue" w:hAnsi="Helvetica Neue" w:cs="Arial"/>
          <w:b/>
          <w:bCs/>
          <w:sz w:val="28"/>
          <w:szCs w:val="28"/>
        </w:rPr>
        <w:t>Past</w:t>
      </w:r>
      <w:r w:rsidR="00301BDF">
        <w:rPr>
          <w:rFonts w:ascii="Helvetica Neue" w:hAnsi="Helvetica Neue" w:cs="Arial"/>
          <w:b/>
          <w:bCs/>
          <w:sz w:val="28"/>
          <w:szCs w:val="28"/>
        </w:rPr>
        <w:t>on</w:t>
      </w:r>
      <w:proofErr w:type="spellEnd"/>
      <w:r w:rsidR="00301BDF">
        <w:rPr>
          <w:rFonts w:ascii="Helvetica Neue" w:hAnsi="Helvetica Neue" w:cs="Arial"/>
          <w:b/>
          <w:bCs/>
          <w:sz w:val="28"/>
          <w:szCs w:val="28"/>
        </w:rPr>
        <w:t xml:space="preserve"> Parish Council</w:t>
      </w:r>
    </w:p>
    <w:p w14:paraId="12EC98F2" w14:textId="77777777" w:rsidR="00301BDF" w:rsidRPr="00614A4C" w:rsidRDefault="00301BDF" w:rsidP="00301BDF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>
        <w:rPr>
          <w:rFonts w:ascii="Helvetica Neue" w:hAnsi="Helvetica Neue" w:cs="Arial"/>
          <w:b/>
          <w:bCs/>
          <w:sz w:val="28"/>
          <w:szCs w:val="28"/>
        </w:rPr>
        <w:t>Risk Management Policy</w:t>
      </w:r>
    </w:p>
    <w:p w14:paraId="19B43D08" w14:textId="77777777" w:rsidR="00301BDF" w:rsidRPr="00614A4C" w:rsidRDefault="00301BDF" w:rsidP="00301BDF">
      <w:pPr>
        <w:jc w:val="center"/>
        <w:rPr>
          <w:rFonts w:ascii="Helvetica Neue" w:hAnsi="Helvetica Neue" w:cs="Arial"/>
          <w:b/>
          <w:bCs/>
        </w:rPr>
      </w:pPr>
    </w:p>
    <w:p w14:paraId="32960977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</w:p>
    <w:p w14:paraId="40F5DE7E" w14:textId="77777777" w:rsidR="00301BDF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  <w:r>
        <w:rPr>
          <w:rFonts w:ascii="Helvetica Neue" w:hAnsi="Helvetica Neue" w:cs="Arial"/>
          <w:b/>
          <w:bCs/>
        </w:rPr>
        <w:t>About the Council</w:t>
      </w:r>
    </w:p>
    <w:p w14:paraId="33654D75" w14:textId="4CD3C916" w:rsidR="00301BDF" w:rsidRPr="00AE5CF4" w:rsidRDefault="007D1F58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  <w:proofErr w:type="spellStart"/>
      <w:proofErr w:type="gramStart"/>
      <w:r>
        <w:rPr>
          <w:rFonts w:ascii="Helvetica Neue" w:hAnsi="Helvetica Neue" w:cs="Arial"/>
          <w:b/>
          <w:bCs/>
        </w:rPr>
        <w:t>Paston</w:t>
      </w:r>
      <w:proofErr w:type="spellEnd"/>
      <w:r w:rsidR="00301BDF">
        <w:rPr>
          <w:rFonts w:ascii="Helvetica Neue" w:hAnsi="Helvetica Neue" w:cs="Arial"/>
          <w:b/>
          <w:bCs/>
        </w:rPr>
        <w:t xml:space="preserve"> </w:t>
      </w:r>
      <w:r w:rsidR="00301BDF" w:rsidRPr="00614A4C">
        <w:rPr>
          <w:rFonts w:ascii="Helvetica Neue" w:hAnsi="Helvetica Neue" w:cs="Arial"/>
        </w:rPr>
        <w:t xml:space="preserve"> Parish</w:t>
      </w:r>
      <w:proofErr w:type="gramEnd"/>
      <w:r w:rsidR="00301BDF" w:rsidRPr="00614A4C">
        <w:rPr>
          <w:rFonts w:ascii="Helvetica Neue" w:hAnsi="Helvetica Neue" w:cs="Arial"/>
        </w:rPr>
        <w:t xml:space="preserve"> Council is a small parish council as defined by the Local Audit and Accountability Act 2014.  The Council has varying activities and functions and is currently insured through</w:t>
      </w:r>
      <w:r w:rsidR="00C46610">
        <w:rPr>
          <w:rFonts w:ascii="Helvetica Neue" w:hAnsi="Helvetica Neue" w:cs="Arial"/>
        </w:rPr>
        <w:t xml:space="preserve"> Came &amp; Company</w:t>
      </w:r>
      <w:r w:rsidR="00301BDF" w:rsidRPr="00614A4C">
        <w:rPr>
          <w:rFonts w:ascii="Helvetica Neue" w:hAnsi="Helvetica Neue" w:cs="Arial"/>
        </w:rPr>
        <w:t>. The Ins</w:t>
      </w:r>
      <w:r w:rsidR="00AB5A98">
        <w:rPr>
          <w:rFonts w:ascii="Helvetica Neue" w:hAnsi="Helvetica Neue" w:cs="Arial"/>
        </w:rPr>
        <w:t>urance Policy is for a term of 1</w:t>
      </w:r>
      <w:r w:rsidR="00301BDF">
        <w:rPr>
          <w:rFonts w:ascii="Helvetica Neue" w:hAnsi="Helvetica Neue" w:cs="Arial"/>
        </w:rPr>
        <w:t xml:space="preserve"> year and is due</w:t>
      </w:r>
      <w:r w:rsidR="00D5213C">
        <w:rPr>
          <w:rFonts w:ascii="Helvetica Neue" w:hAnsi="Helvetica Neue" w:cs="Arial"/>
        </w:rPr>
        <w:t xml:space="preserve"> for renewal 31/05/2022</w:t>
      </w:r>
      <w:r w:rsidR="00301BDF" w:rsidRPr="00614A4C">
        <w:rPr>
          <w:rFonts w:ascii="Helvetica Neue" w:hAnsi="Helvetica Neue" w:cs="Arial"/>
        </w:rPr>
        <w:t xml:space="preserve">.  </w:t>
      </w:r>
    </w:p>
    <w:p w14:paraId="5059587F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</w:p>
    <w:p w14:paraId="0EA4D58F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 xml:space="preserve">The contact details for </w:t>
      </w:r>
      <w:r>
        <w:rPr>
          <w:rFonts w:ascii="Helvetica Neue" w:hAnsi="Helvetica Neue" w:cs="Arial"/>
        </w:rPr>
        <w:t>the</w:t>
      </w:r>
      <w:r w:rsidRPr="00614A4C">
        <w:rPr>
          <w:rFonts w:ascii="Helvetica Neue" w:hAnsi="Helvetica Neue" w:cs="Arial"/>
        </w:rPr>
        <w:t xml:space="preserve"> insurers are:</w:t>
      </w:r>
    </w:p>
    <w:p w14:paraId="64A1851F" w14:textId="77777777" w:rsidR="00301BDF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Came &amp; Company</w:t>
      </w:r>
    </w:p>
    <w:p w14:paraId="237CDC9E" w14:textId="77777777" w:rsidR="00301BDF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Blenheim House</w:t>
      </w:r>
    </w:p>
    <w:p w14:paraId="08285186" w14:textId="77777777" w:rsidR="00301BDF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1-2 Bridge Street, </w:t>
      </w:r>
    </w:p>
    <w:p w14:paraId="0DCC3708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Guildford GU1 4RY</w:t>
      </w:r>
    </w:p>
    <w:p w14:paraId="6E67EDF8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</w:p>
    <w:p w14:paraId="2421288C" w14:textId="77777777" w:rsidR="00301BDF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The Clerk retains the insurance file and will deal with all matters relating to risk and insurance. This is detailed in the Clerk’s Jo</w:t>
      </w:r>
      <w:r>
        <w:rPr>
          <w:rFonts w:ascii="Helvetica Neue" w:hAnsi="Helvetica Neue" w:cs="Arial"/>
        </w:rPr>
        <w:t>b Description and supported by ‘</w:t>
      </w:r>
      <w:r w:rsidRPr="00614A4C">
        <w:rPr>
          <w:rFonts w:ascii="Helvetica Neue" w:hAnsi="Helvetica Neue" w:cs="Arial"/>
        </w:rPr>
        <w:t>Governance and Accountability 201</w:t>
      </w:r>
      <w:r>
        <w:rPr>
          <w:rFonts w:ascii="Helvetica Neue" w:hAnsi="Helvetica Neue" w:cs="Arial"/>
        </w:rPr>
        <w:t>9’</w:t>
      </w:r>
      <w:r w:rsidRPr="00614A4C">
        <w:rPr>
          <w:rFonts w:ascii="Helvetica Neue" w:hAnsi="Helvetica Neue" w:cs="Arial"/>
        </w:rPr>
        <w:t xml:space="preserve">. The Council supports the Clerk in this role by providing training opportunities. The Council agrees the Risk Management Policy which is reviewed every year.  </w:t>
      </w:r>
    </w:p>
    <w:p w14:paraId="271D5A9A" w14:textId="77777777" w:rsidR="00301BDF" w:rsidRPr="00614A4C" w:rsidRDefault="00301BDF" w:rsidP="0030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</w:p>
    <w:p w14:paraId="2C299452" w14:textId="77777777" w:rsidR="00301BDF" w:rsidRPr="00614A4C" w:rsidRDefault="00301BDF" w:rsidP="00301BDF">
      <w:pPr>
        <w:rPr>
          <w:rFonts w:ascii="Helvetica Neue" w:hAnsi="Helvetica Neue" w:cs="Arial"/>
        </w:rPr>
      </w:pPr>
    </w:p>
    <w:p w14:paraId="522BE77A" w14:textId="77777777" w:rsidR="00301BDF" w:rsidRPr="00614A4C" w:rsidRDefault="00301BDF" w:rsidP="00301BDF">
      <w:pPr>
        <w:rPr>
          <w:rFonts w:ascii="Helvetica Neue" w:hAnsi="Helvetica Neue" w:cs="Arial"/>
          <w:b/>
        </w:rPr>
      </w:pPr>
    </w:p>
    <w:p w14:paraId="795C1D6A" w14:textId="77777777" w:rsidR="00301BDF" w:rsidRPr="00614A4C" w:rsidRDefault="00301BDF" w:rsidP="00301BDF">
      <w:pPr>
        <w:rPr>
          <w:rFonts w:ascii="Helvetica Neue" w:hAnsi="Helvetica Neue" w:cs="Arial"/>
          <w:b/>
        </w:rPr>
      </w:pPr>
      <w:r w:rsidRPr="00614A4C">
        <w:rPr>
          <w:rFonts w:ascii="Helvetica Neue" w:hAnsi="Helvetica Neue" w:cs="Arial"/>
          <w:b/>
        </w:rPr>
        <w:t>Main Actions in relation to risk management</w:t>
      </w:r>
    </w:p>
    <w:p w14:paraId="5DE17380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 xml:space="preserve">The Asset Register is updated </w:t>
      </w:r>
      <w:proofErr w:type="gramStart"/>
      <w:r w:rsidRPr="00614A4C">
        <w:rPr>
          <w:rFonts w:ascii="Helvetica Neue" w:hAnsi="Helvetica Neue" w:cs="Arial"/>
        </w:rPr>
        <w:t>during the course of</w:t>
      </w:r>
      <w:proofErr w:type="gramEnd"/>
      <w:r w:rsidRPr="00614A4C">
        <w:rPr>
          <w:rFonts w:ascii="Helvetica Neue" w:hAnsi="Helvetica Neue" w:cs="Arial"/>
        </w:rPr>
        <w:t xml:space="preserve"> the year by the Clerk.</w:t>
      </w:r>
    </w:p>
    <w:p w14:paraId="2D18E96A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Risk assessments (Health and Safety) are written and updated by the Clerk where appropriate</w:t>
      </w:r>
      <w:r>
        <w:rPr>
          <w:rFonts w:ascii="Helvetica Neue" w:hAnsi="Helvetica Neue" w:cs="Arial"/>
        </w:rPr>
        <w:t>,</w:t>
      </w:r>
      <w:r w:rsidRPr="00614A4C">
        <w:rPr>
          <w:rFonts w:ascii="Helvetica Neue" w:hAnsi="Helvetica Neue" w:cs="Arial"/>
        </w:rPr>
        <w:t xml:space="preserve"> or another designated body. Copies of</w:t>
      </w:r>
      <w:r>
        <w:rPr>
          <w:rFonts w:ascii="Helvetica Neue" w:hAnsi="Helvetica Neue" w:cs="Arial"/>
        </w:rPr>
        <w:t xml:space="preserve"> </w:t>
      </w:r>
      <w:r w:rsidRPr="00614A4C">
        <w:rPr>
          <w:rFonts w:ascii="Helvetica Neue" w:hAnsi="Helvetica Neue" w:cs="Arial"/>
        </w:rPr>
        <w:t>risk assessments are retained.</w:t>
      </w:r>
    </w:p>
    <w:p w14:paraId="2FBF6146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 xml:space="preserve">Sites are inspected at least </w:t>
      </w:r>
      <w:proofErr w:type="gramStart"/>
      <w:r w:rsidRPr="00614A4C">
        <w:rPr>
          <w:rFonts w:ascii="Helvetica Neue" w:hAnsi="Helvetica Neue" w:cs="Arial"/>
        </w:rPr>
        <w:t>annually</w:t>
      </w:r>
      <w:proofErr w:type="gramEnd"/>
      <w:r w:rsidRPr="00614A4C">
        <w:rPr>
          <w:rFonts w:ascii="Helvetica Neue" w:hAnsi="Helvetica Neue" w:cs="Arial"/>
        </w:rPr>
        <w:t xml:space="preserve"> and records are retained.</w:t>
      </w:r>
    </w:p>
    <w:p w14:paraId="5C038522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 xml:space="preserve">Play Areas are inspected </w:t>
      </w:r>
      <w:proofErr w:type="gramStart"/>
      <w:r w:rsidRPr="00614A4C">
        <w:rPr>
          <w:rFonts w:ascii="Helvetica Neue" w:hAnsi="Helvetica Neue" w:cs="Arial"/>
        </w:rPr>
        <w:t>weekly</w:t>
      </w:r>
      <w:proofErr w:type="gramEnd"/>
      <w:r>
        <w:rPr>
          <w:rFonts w:ascii="Helvetica Neue" w:hAnsi="Helvetica Neue" w:cs="Arial"/>
        </w:rPr>
        <w:t xml:space="preserve"> and an </w:t>
      </w:r>
      <w:r w:rsidRPr="00614A4C">
        <w:rPr>
          <w:rFonts w:ascii="Helvetica Neue" w:hAnsi="Helvetica Neue" w:cs="Arial"/>
        </w:rPr>
        <w:t>annu</w:t>
      </w:r>
      <w:r>
        <w:rPr>
          <w:rFonts w:ascii="Helvetica Neue" w:hAnsi="Helvetica Neue" w:cs="Arial"/>
        </w:rPr>
        <w:t xml:space="preserve">al inspection must be carried out </w:t>
      </w:r>
      <w:r w:rsidRPr="00614A4C">
        <w:rPr>
          <w:rFonts w:ascii="Helvetica Neue" w:hAnsi="Helvetica Neue" w:cs="Arial"/>
        </w:rPr>
        <w:t xml:space="preserve">by </w:t>
      </w:r>
      <w:r>
        <w:rPr>
          <w:rFonts w:ascii="Helvetica Neue" w:hAnsi="Helvetica Neue" w:cs="Arial"/>
        </w:rPr>
        <w:t>an external qualified inspector</w:t>
      </w:r>
      <w:r w:rsidRPr="00614A4C">
        <w:rPr>
          <w:rFonts w:ascii="Helvetica Neue" w:hAnsi="Helvetica Neue" w:cs="Arial"/>
        </w:rPr>
        <w:t xml:space="preserve">.  </w:t>
      </w:r>
      <w:r>
        <w:rPr>
          <w:rFonts w:ascii="Helvetica Neue" w:hAnsi="Helvetica Neue" w:cs="Arial"/>
        </w:rPr>
        <w:t>All i</w:t>
      </w:r>
      <w:r w:rsidRPr="00614A4C">
        <w:rPr>
          <w:rFonts w:ascii="Helvetica Neue" w:hAnsi="Helvetica Neue" w:cs="Arial"/>
        </w:rPr>
        <w:t>nspect</w:t>
      </w:r>
      <w:r>
        <w:rPr>
          <w:rFonts w:ascii="Helvetica Neue" w:hAnsi="Helvetica Neue" w:cs="Arial"/>
        </w:rPr>
        <w:t>ions must be retained for at least 22</w:t>
      </w:r>
      <w:r w:rsidRPr="00614A4C">
        <w:rPr>
          <w:rFonts w:ascii="Helvetica Neue" w:hAnsi="Helvetica Neue" w:cs="Arial"/>
        </w:rPr>
        <w:t xml:space="preserve"> years.</w:t>
      </w:r>
    </w:p>
    <w:p w14:paraId="0E1746DE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The Council</w:t>
      </w:r>
      <w:r w:rsidRPr="00614A4C">
        <w:rPr>
          <w:rFonts w:ascii="Helvetica Neue" w:hAnsi="Helvetica Neue" w:cs="Arial"/>
        </w:rPr>
        <w:t xml:space="preserve"> review</w:t>
      </w:r>
      <w:r>
        <w:rPr>
          <w:rFonts w:ascii="Helvetica Neue" w:hAnsi="Helvetica Neue" w:cs="Arial"/>
        </w:rPr>
        <w:t>s</w:t>
      </w:r>
      <w:r w:rsidRPr="00614A4C">
        <w:rPr>
          <w:rFonts w:ascii="Helvetica Neue" w:hAnsi="Helvetica Neue" w:cs="Arial"/>
        </w:rPr>
        <w:t xml:space="preserve"> the Insurance Policy </w:t>
      </w:r>
      <w:r>
        <w:rPr>
          <w:rFonts w:ascii="Helvetica Neue" w:hAnsi="Helvetica Neue" w:cs="Arial"/>
        </w:rPr>
        <w:t>prior to renewal</w:t>
      </w:r>
      <w:r w:rsidRPr="00614A4C">
        <w:rPr>
          <w:rFonts w:ascii="Helvetica Neue" w:hAnsi="Helvetica Neue" w:cs="Arial"/>
        </w:rPr>
        <w:t>.</w:t>
      </w:r>
    </w:p>
    <w:p w14:paraId="2E065A23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Financial Risk A</w:t>
      </w:r>
      <w:r w:rsidRPr="00614A4C">
        <w:rPr>
          <w:rFonts w:ascii="Helvetica Neue" w:hAnsi="Helvetica Neue" w:cs="Arial"/>
        </w:rPr>
        <w:t>ssessments are carried out by the Clerk / Responsible Financial Officer, as required.</w:t>
      </w:r>
    </w:p>
    <w:p w14:paraId="44BCBFFD" w14:textId="77777777" w:rsidR="00301BDF" w:rsidRPr="00614A4C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lastRenderedPageBreak/>
        <w:t>Documentation is kept safely and securely.</w:t>
      </w:r>
    </w:p>
    <w:p w14:paraId="181E2D7F" w14:textId="77777777" w:rsidR="00301BDF" w:rsidRDefault="00301BDF" w:rsidP="00301BDF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The Council reviews its systems of Internal Control at least annually. </w:t>
      </w:r>
    </w:p>
    <w:p w14:paraId="58C419C8" w14:textId="77777777" w:rsidR="00301BDF" w:rsidRDefault="00301BDF" w:rsidP="00301BDF">
      <w:pPr>
        <w:rPr>
          <w:rFonts w:ascii="Helvetica Neue" w:hAnsi="Helvetica Neue" w:cs="Arial"/>
        </w:rPr>
      </w:pPr>
    </w:p>
    <w:p w14:paraId="761DF3C8" w14:textId="77777777" w:rsidR="00301BDF" w:rsidRPr="000611F4" w:rsidRDefault="00301BDF" w:rsidP="00301BDF">
      <w:pPr>
        <w:rPr>
          <w:rFonts w:ascii="Helvetica Neue" w:hAnsi="Helvetica Neue" w:cs="Arial"/>
        </w:rPr>
      </w:pPr>
    </w:p>
    <w:p w14:paraId="761E2F99" w14:textId="6A6006CC" w:rsidR="00301BDF" w:rsidRPr="00D12086" w:rsidRDefault="00301BDF" w:rsidP="00301BDF">
      <w:pPr>
        <w:rPr>
          <w:rFonts w:ascii="Helvetica Neue" w:hAnsi="Helvetica Neue" w:cs="Arial"/>
          <w:b/>
          <w:bCs/>
          <w:sz w:val="28"/>
          <w:szCs w:val="28"/>
        </w:rPr>
      </w:pPr>
      <w:r w:rsidRPr="00D12086">
        <w:rPr>
          <w:rFonts w:ascii="Helvetica Neue" w:hAnsi="Helvetica Neue" w:cs="Arial"/>
          <w:b/>
          <w:bCs/>
          <w:sz w:val="28"/>
          <w:szCs w:val="28"/>
        </w:rPr>
        <w:t>The Risks identified for the Council</w:t>
      </w:r>
      <w:r>
        <w:rPr>
          <w:rFonts w:ascii="Helvetica Neue" w:hAnsi="Helvetica Neue" w:cs="Arial"/>
          <w:b/>
          <w:bCs/>
          <w:sz w:val="28"/>
          <w:szCs w:val="28"/>
        </w:rPr>
        <w:t>:</w:t>
      </w:r>
    </w:p>
    <w:p w14:paraId="7F14E8CE" w14:textId="77777777" w:rsidR="00301BDF" w:rsidRPr="00614A4C" w:rsidRDefault="00301BDF" w:rsidP="00301BDF">
      <w:pPr>
        <w:rPr>
          <w:rFonts w:ascii="Helvetica Neue" w:hAnsi="Helvetica Neue"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268"/>
        <w:gridCol w:w="4536"/>
        <w:gridCol w:w="3260"/>
        <w:gridCol w:w="1377"/>
      </w:tblGrid>
      <w:tr w:rsidR="00301BDF" w:rsidRPr="00614A4C" w14:paraId="2F0754BA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1A26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 xml:space="preserve">Risks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2A0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Likelihood v Impact = Risk 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068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Mitigation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55CF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lang w:eastAsia="en-US"/>
              </w:rPr>
              <w:t>By what means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D09A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Action</w:t>
            </w:r>
          </w:p>
        </w:tc>
      </w:tr>
      <w:tr w:rsidR="00301BDF" w:rsidRPr="00614A4C" w14:paraId="6A35C487" w14:textId="77777777" w:rsidTr="00F971A1">
        <w:trPr>
          <w:trHeight w:val="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2090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Operational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89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969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896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E25B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</w:tr>
      <w:tr w:rsidR="00301BDF" w:rsidRPr="00614A4C" w14:paraId="70FF3C95" w14:textId="77777777" w:rsidTr="00F971A1">
        <w:trPr>
          <w:trHeight w:val="18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878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Staff (Clerk)</w:t>
            </w:r>
          </w:p>
          <w:p w14:paraId="336BBCE0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994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High</w:t>
            </w:r>
          </w:p>
          <w:p w14:paraId="0A2B6231" w14:textId="77777777" w:rsidR="00301BDF" w:rsidRPr="00614A4C" w:rsidRDefault="00301BDF" w:rsidP="00F971A1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Accident at work</w:t>
            </w:r>
          </w:p>
          <w:p w14:paraId="3D62B9F5" w14:textId="77777777" w:rsidR="00301BDF" w:rsidRPr="00614A4C" w:rsidRDefault="00301BDF" w:rsidP="00F971A1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Sickness</w:t>
            </w:r>
          </w:p>
          <w:p w14:paraId="0F84C2C6" w14:textId="77777777" w:rsidR="00301BDF" w:rsidRPr="00614A4C" w:rsidRDefault="00301BDF" w:rsidP="00F971A1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Terminates employment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671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360565F4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Employer</w:t>
            </w:r>
            <w:r>
              <w:rPr>
                <w:rFonts w:ascii="Helvetica Neue" w:hAnsi="Helvetica Neue" w:cs="Arial"/>
                <w:bCs/>
                <w:lang w:eastAsia="en-US"/>
              </w:rPr>
              <w:t>’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s Liability in place</w:t>
            </w:r>
          </w:p>
          <w:p w14:paraId="08250082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Lone Worker</w:t>
            </w:r>
            <w:r>
              <w:rPr>
                <w:rFonts w:ascii="Helvetica Neue" w:hAnsi="Helvetica Neue" w:cs="Arial"/>
                <w:bCs/>
                <w:lang w:eastAsia="en-US"/>
              </w:rPr>
              <w:t>’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 xml:space="preserve">s Policy </w:t>
            </w:r>
          </w:p>
          <w:p w14:paraId="0E913DEB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Adequate Working Balance</w:t>
            </w:r>
          </w:p>
          <w:p w14:paraId="750106CE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Adequate Working Balance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402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175F5E48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</w:t>
            </w:r>
            <w:r>
              <w:rPr>
                <w:rFonts w:ascii="Helvetica Neue" w:hAnsi="Helvetica Neue" w:cs="Arial"/>
                <w:bCs/>
                <w:lang w:eastAsia="en-US"/>
              </w:rPr>
              <w:t xml:space="preserve">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Policy</w:t>
            </w:r>
          </w:p>
          <w:p w14:paraId="40B0A38F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537F6FA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72D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0CB0AD91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and Council</w:t>
            </w:r>
          </w:p>
        </w:tc>
      </w:tr>
      <w:tr w:rsidR="00301BDF" w:rsidRPr="00614A4C" w14:paraId="409DE3E9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714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Members of the public attending meetings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E2FD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Low</w:t>
            </w:r>
          </w:p>
          <w:p w14:paraId="22DFCAA5" w14:textId="77777777" w:rsidR="00301BDF" w:rsidRPr="00614A4C" w:rsidRDefault="00301BDF" w:rsidP="00F971A1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Accident</w:t>
            </w:r>
          </w:p>
          <w:p w14:paraId="7E6DE165" w14:textId="77777777" w:rsidR="00301BDF" w:rsidRPr="00614A4C" w:rsidRDefault="00301BDF" w:rsidP="00F971A1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Incident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EE81" w14:textId="77777777" w:rsidR="00301BDF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</w:p>
          <w:p w14:paraId="6606ACCB" w14:textId="77777777" w:rsidR="00301BDF" w:rsidRPr="00614A4C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291FD119" w14:textId="77777777" w:rsidR="00301BDF" w:rsidRPr="00614A4C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Visual Inspection – recorded</w:t>
            </w:r>
          </w:p>
          <w:p w14:paraId="44A56E65" w14:textId="77777777" w:rsidR="00301BDF" w:rsidRPr="00614A4C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Standing Orders in place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E904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34600D81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63F2D98A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Village Hall Chairman / Committee</w:t>
            </w:r>
            <w:r>
              <w:rPr>
                <w:rFonts w:ascii="Helvetica Neue" w:hAnsi="Helvetica Neue" w:cs="Arial"/>
                <w:bCs/>
                <w:lang w:eastAsia="en-US"/>
              </w:rPr>
              <w:t xml:space="preserve"> or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Council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6E81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1DEC2FDE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</w:t>
            </w:r>
          </w:p>
          <w:p w14:paraId="08F52BC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VH Chairman / Committee</w:t>
            </w:r>
          </w:p>
        </w:tc>
      </w:tr>
      <w:tr w:rsidR="00301BDF" w:rsidRPr="00614A4C" w14:paraId="6A41D5B0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415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SAM2</w:t>
            </w:r>
          </w:p>
          <w:p w14:paraId="3D000BA2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Speed watch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10B4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  <w:p w14:paraId="1A4CB4D7" w14:textId="77777777" w:rsidR="00301BDF" w:rsidRPr="00614A4C" w:rsidRDefault="00301BDF" w:rsidP="00301BDF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Roadside accident</w:t>
            </w:r>
          </w:p>
          <w:p w14:paraId="0BC261B8" w14:textId="77777777" w:rsidR="00301BDF" w:rsidRPr="00614A4C" w:rsidRDefault="00301BDF" w:rsidP="00301BDF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Lifting heavy equipment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7981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0DE12368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Risk Assessment and training for use of SAM2 provided</w:t>
            </w:r>
          </w:p>
          <w:p w14:paraId="1118029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6127D1A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Insurance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4D4E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207C832D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proofErr w:type="spellStart"/>
            <w:r w:rsidRPr="00614A4C">
              <w:rPr>
                <w:rFonts w:ascii="Helvetica Neue" w:hAnsi="Helvetica Neue" w:cs="Arial"/>
                <w:bCs/>
                <w:lang w:eastAsia="en-US"/>
              </w:rPr>
              <w:t>Westcotec</w:t>
            </w:r>
            <w:proofErr w:type="spellEnd"/>
          </w:p>
          <w:p w14:paraId="63C1270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£10 million Public Liability</w:t>
            </w:r>
          </w:p>
          <w:p w14:paraId="0402C436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792DF37A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Register maintained and Insurers advised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16F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768C71BD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 xml:space="preserve">Clerk arranged </w:t>
            </w:r>
          </w:p>
          <w:p w14:paraId="04F4479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2A6B1CEF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Register updated annually by Clerk</w:t>
            </w:r>
          </w:p>
        </w:tc>
      </w:tr>
      <w:tr w:rsidR="00301BDF" w:rsidRPr="00614A4C" w14:paraId="266FC729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B1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Contractors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39C6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  <w:p w14:paraId="14692A4A" w14:textId="77777777" w:rsidR="00301BDF" w:rsidRPr="00614A4C" w:rsidRDefault="00301BDF" w:rsidP="00301BDF">
            <w:pPr>
              <w:pStyle w:val="ListParagraph"/>
              <w:numPr>
                <w:ilvl w:val="0"/>
                <w:numId w:val="5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accident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5B1" w14:textId="77777777" w:rsidR="00301BDF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</w:p>
          <w:p w14:paraId="7A4F229A" w14:textId="77777777" w:rsidR="00301BDF" w:rsidRPr="00614A4C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48EF5CD7" w14:textId="77777777" w:rsidR="00301BDF" w:rsidRPr="00614A4C" w:rsidRDefault="00301BDF" w:rsidP="00F971A1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Contractors own Public L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iability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75A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48F489F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685DB380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and Contractor (£10 million)</w:t>
            </w:r>
          </w:p>
          <w:p w14:paraId="6DBC2F7B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76CB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46B8465A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</w:t>
            </w:r>
          </w:p>
        </w:tc>
      </w:tr>
      <w:tr w:rsidR="00301BDF" w:rsidRPr="00614A4C" w14:paraId="576FCF08" w14:textId="77777777" w:rsidTr="00F971A1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8EB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 xml:space="preserve">Risks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B9C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Likelihood v Impact = Risk 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15F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Mitigation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377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lang w:eastAsia="en-US"/>
              </w:rPr>
              <w:t>By what means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990" w14:textId="77777777" w:rsidR="00301BDF" w:rsidRPr="00D12086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Action</w:t>
            </w:r>
          </w:p>
        </w:tc>
      </w:tr>
      <w:tr w:rsidR="00301BDF" w:rsidRPr="00614A4C" w14:paraId="6DB4AEF6" w14:textId="77777777" w:rsidTr="00F971A1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7F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Financial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18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85D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CF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880A" w14:textId="77777777" w:rsidR="00301BDF" w:rsidRPr="00614A4C" w:rsidRDefault="00301BDF" w:rsidP="00F971A1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</w:p>
        </w:tc>
      </w:tr>
      <w:tr w:rsidR="00301BDF" w:rsidRPr="00614A4C" w14:paraId="24637304" w14:textId="77777777" w:rsidTr="00F971A1">
        <w:trPr>
          <w:trHeight w:val="12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092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Cash flow and end of year balance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EF6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8C1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 prepared</w:t>
            </w:r>
          </w:p>
          <w:p w14:paraId="37748F3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 Monitoring document provided to members</w:t>
            </w:r>
          </w:p>
          <w:p w14:paraId="0DA7B05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Reserve funds allocated</w:t>
            </w:r>
          </w:p>
          <w:p w14:paraId="7524AE4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Fidelity Guarantee in place</w:t>
            </w:r>
          </w:p>
          <w:p w14:paraId="1B3ECE3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 xml:space="preserve">Internal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Controls in place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1C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/ RFO</w:t>
            </w:r>
          </w:p>
          <w:p w14:paraId="2036C800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70A35986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45AE6C5B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4F7FB081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70A32FB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Policies reviewed annually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3B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 xml:space="preserve">Council to agree and </w:t>
            </w:r>
          </w:p>
          <w:p w14:paraId="684E7175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review</w:t>
            </w:r>
          </w:p>
        </w:tc>
      </w:tr>
      <w:tr w:rsidR="00301BDF" w:rsidRPr="00614A4C" w14:paraId="277770CE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E4E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Handling of c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ash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359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241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Two people designated to count and bank cash</w:t>
            </w:r>
          </w:p>
          <w:p w14:paraId="7317D69F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7E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cover for retention of cash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F7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to agree and review</w:t>
            </w:r>
          </w:p>
        </w:tc>
      </w:tr>
      <w:tr w:rsidR="00301BDF" w:rsidRPr="00614A4C" w14:paraId="607B0458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0A0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Audit challenges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009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ECE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Audit control policies in place and reviewed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DE3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/ RFO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17E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to agree and review</w:t>
            </w:r>
          </w:p>
        </w:tc>
      </w:tr>
      <w:tr w:rsidR="00301BDF" w:rsidRPr="00614A4C" w14:paraId="554B323D" w14:textId="77777777" w:rsidTr="00F971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F4C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Data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60F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C88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DPO appointed</w:t>
            </w:r>
          </w:p>
          <w:p w14:paraId="04407349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Clerk and Councillors trained</w:t>
            </w:r>
          </w:p>
          <w:p w14:paraId="37935BA3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Finance Committee has delegated power to manage the process</w:t>
            </w:r>
          </w:p>
          <w:p w14:paraId="2B2F44D2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Data Protection Policy adopted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681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/ RFO</w:t>
            </w:r>
          </w:p>
          <w:p w14:paraId="17B65104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Clerk / Councillors</w:t>
            </w:r>
          </w:p>
          <w:p w14:paraId="484ECB3D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Finance Committee</w:t>
            </w:r>
          </w:p>
          <w:p w14:paraId="11D7B343" w14:textId="77777777" w:rsidR="00301BDF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1B04CB7D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Council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C17" w14:textId="77777777" w:rsidR="00301BDF" w:rsidRPr="00614A4C" w:rsidRDefault="00301BDF" w:rsidP="00F971A1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to agree and review</w:t>
            </w:r>
          </w:p>
        </w:tc>
      </w:tr>
    </w:tbl>
    <w:p w14:paraId="40D33DBB" w14:textId="77777777" w:rsidR="00301BDF" w:rsidRPr="00614A4C" w:rsidRDefault="00301BDF" w:rsidP="00301BDF">
      <w:pPr>
        <w:rPr>
          <w:rFonts w:ascii="Helvetica Neue" w:hAnsi="Helvetica Neue" w:cs="Arial"/>
          <w:b/>
          <w:bCs/>
        </w:rPr>
      </w:pPr>
    </w:p>
    <w:p w14:paraId="02F3F42C" w14:textId="5451E6DF" w:rsidR="00301BDF" w:rsidRPr="002651F0" w:rsidRDefault="00301BDF" w:rsidP="00301BDF">
      <w:pPr>
        <w:rPr>
          <w:rFonts w:ascii="Helvetica Neue" w:hAnsi="Helvetica Neue" w:cs="Arial"/>
          <w:b/>
          <w:bCs/>
          <w:sz w:val="28"/>
          <w:szCs w:val="28"/>
        </w:rPr>
      </w:pPr>
      <w:r w:rsidRPr="002651F0">
        <w:rPr>
          <w:rFonts w:ascii="Helvetica Neue" w:hAnsi="Helvetica Neue" w:cs="Arial"/>
          <w:b/>
          <w:bCs/>
          <w:sz w:val="28"/>
          <w:szCs w:val="28"/>
        </w:rPr>
        <w:t>Policy Document</w:t>
      </w:r>
    </w:p>
    <w:p w14:paraId="63EAE92A" w14:textId="77777777" w:rsidR="00301BDF" w:rsidRDefault="006D76B8" w:rsidP="00301BDF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May 2021</w:t>
      </w:r>
    </w:p>
    <w:p w14:paraId="45FFDE68" w14:textId="77777777" w:rsidR="00301BDF" w:rsidRPr="00614A4C" w:rsidRDefault="00301BDF" w:rsidP="00301BDF">
      <w:pPr>
        <w:rPr>
          <w:rFonts w:ascii="Helvetica Neue" w:hAnsi="Helvetica Neue" w:cs="Arial"/>
        </w:rPr>
      </w:pPr>
    </w:p>
    <w:p w14:paraId="040406B7" w14:textId="77777777" w:rsidR="00301BDF" w:rsidRDefault="00301BDF" w:rsidP="00301BDF">
      <w:p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Date to be reviewed</w:t>
      </w:r>
      <w:r w:rsidR="006D76B8">
        <w:rPr>
          <w:rFonts w:ascii="Helvetica Neue" w:hAnsi="Helvetica Neue" w:cs="Arial"/>
        </w:rPr>
        <w:t>: ……May 2022</w:t>
      </w:r>
      <w:r>
        <w:rPr>
          <w:rFonts w:ascii="Helvetica Neue" w:hAnsi="Helvetica Neue" w:cs="Arial"/>
        </w:rPr>
        <w:t>……………….</w:t>
      </w:r>
    </w:p>
    <w:p w14:paraId="50E0875B" w14:textId="1FF31E08" w:rsidR="00301BDF" w:rsidRPr="00614A4C" w:rsidRDefault="00301BDF" w:rsidP="00301BDF">
      <w:r>
        <w:rPr>
          <w:rFonts w:ascii="Helvetica Neue" w:hAnsi="Helvetica Neue" w:cs="Arial"/>
        </w:rPr>
        <w:t>(</w:t>
      </w:r>
      <w:r w:rsidRPr="00614A4C">
        <w:rPr>
          <w:rFonts w:ascii="Helvetica Neue" w:hAnsi="Helvetica Neue" w:cs="Arial"/>
        </w:rPr>
        <w:t>1 year from date of agreement</w:t>
      </w:r>
      <w:r>
        <w:rPr>
          <w:rFonts w:ascii="Helvetica Neue" w:hAnsi="Helvetica Neue" w:cs="Arial"/>
        </w:rPr>
        <w:t>)</w:t>
      </w:r>
    </w:p>
    <w:p w14:paraId="50B58413" w14:textId="77777777" w:rsidR="00301BDF" w:rsidRPr="00614A4C" w:rsidRDefault="00301BDF" w:rsidP="00301BDF"/>
    <w:p w14:paraId="5E98BAD2" w14:textId="77777777" w:rsidR="00DD5135" w:rsidRDefault="00DD5135"/>
    <w:sectPr w:rsidR="00DD5135" w:rsidSect="00DD6F4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BD8E" w14:textId="77777777" w:rsidR="00ED2E12" w:rsidRDefault="00ED2E12">
      <w:r>
        <w:separator/>
      </w:r>
    </w:p>
  </w:endnote>
  <w:endnote w:type="continuationSeparator" w:id="0">
    <w:p w14:paraId="0860F71C" w14:textId="77777777" w:rsidR="00ED2E12" w:rsidRDefault="00ED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47D7" w14:textId="77777777" w:rsidR="00904936" w:rsidRPr="00904936" w:rsidRDefault="00301BDF" w:rsidP="00904936">
    <w:pPr>
      <w:pStyle w:val="Footer"/>
      <w:jc w:val="center"/>
      <w:rPr>
        <w:rFonts w:ascii="Helvetica Neue" w:hAnsi="Helvetica Neue"/>
      </w:rPr>
    </w:pPr>
    <w:r w:rsidRPr="00904936">
      <w:rPr>
        <w:rFonts w:ascii="Helvetica Neue" w:hAnsi="Helvetica Neue"/>
      </w:rPr>
      <w:t>NORFOLK Parish Training &amp; Support: support@norfolkpts.org: @NorfolkPTS: 01603857004</w:t>
    </w:r>
  </w:p>
  <w:p w14:paraId="00C3D9F4" w14:textId="77777777" w:rsidR="00A00195" w:rsidRDefault="00ED2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044A" w14:textId="77777777" w:rsidR="00ED2E12" w:rsidRDefault="00ED2E12">
      <w:r>
        <w:separator/>
      </w:r>
    </w:p>
  </w:footnote>
  <w:footnote w:type="continuationSeparator" w:id="0">
    <w:p w14:paraId="65C7F069" w14:textId="77777777" w:rsidR="00ED2E12" w:rsidRDefault="00ED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76B5"/>
    <w:multiLevelType w:val="hybridMultilevel"/>
    <w:tmpl w:val="B33A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47D7"/>
    <w:multiLevelType w:val="hybridMultilevel"/>
    <w:tmpl w:val="B136E0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38D8"/>
    <w:multiLevelType w:val="hybridMultilevel"/>
    <w:tmpl w:val="FA8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7853"/>
    <w:multiLevelType w:val="hybridMultilevel"/>
    <w:tmpl w:val="AE12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D33"/>
    <w:multiLevelType w:val="hybridMultilevel"/>
    <w:tmpl w:val="C2C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1518">
    <w:abstractNumId w:val="1"/>
  </w:num>
  <w:num w:numId="2" w16cid:durableId="367337357">
    <w:abstractNumId w:val="3"/>
  </w:num>
  <w:num w:numId="3" w16cid:durableId="1234855834">
    <w:abstractNumId w:val="2"/>
  </w:num>
  <w:num w:numId="4" w16cid:durableId="1898513398">
    <w:abstractNumId w:val="0"/>
  </w:num>
  <w:num w:numId="5" w16cid:durableId="74049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DF"/>
    <w:rsid w:val="0008180E"/>
    <w:rsid w:val="00301BDF"/>
    <w:rsid w:val="003335D0"/>
    <w:rsid w:val="00590D5A"/>
    <w:rsid w:val="006B56A1"/>
    <w:rsid w:val="006D76B8"/>
    <w:rsid w:val="00767BB8"/>
    <w:rsid w:val="0077126F"/>
    <w:rsid w:val="007D1F58"/>
    <w:rsid w:val="008A2959"/>
    <w:rsid w:val="008D2015"/>
    <w:rsid w:val="009112CC"/>
    <w:rsid w:val="0095558E"/>
    <w:rsid w:val="00982251"/>
    <w:rsid w:val="00AB5A98"/>
    <w:rsid w:val="00C46610"/>
    <w:rsid w:val="00CB2C36"/>
    <w:rsid w:val="00D5213C"/>
    <w:rsid w:val="00DD5135"/>
    <w:rsid w:val="00E82BAF"/>
    <w:rsid w:val="00ED2E12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F376"/>
  <w15:chartTrackingRefBased/>
  <w15:docId w15:val="{EB38D3CA-D821-4BE2-BEB0-12CAD44D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B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B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1B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DF"/>
    <w:rPr>
      <w:rFonts w:ascii="Times New Roman" w:eastAsia="SimSu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Nicholas Bardswell</cp:lastModifiedBy>
  <cp:revision>3</cp:revision>
  <dcterms:created xsi:type="dcterms:W3CDTF">2022-04-27T08:53:00Z</dcterms:created>
  <dcterms:modified xsi:type="dcterms:W3CDTF">2022-04-27T08:55:00Z</dcterms:modified>
</cp:coreProperties>
</file>