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1D2F" w14:textId="14551B75" w:rsidR="00DC5820" w:rsidRPr="00830403" w:rsidRDefault="00DC5820" w:rsidP="003625B5">
      <w:pPr>
        <w:rPr>
          <w:sz w:val="28"/>
          <w:szCs w:val="28"/>
        </w:rPr>
      </w:pPr>
      <w:r w:rsidRPr="00830403">
        <w:rPr>
          <w:b/>
          <w:bCs/>
          <w:sz w:val="32"/>
          <w:szCs w:val="32"/>
        </w:rPr>
        <w:t>Minutes of a Meeting of Paston Parish Council</w:t>
      </w:r>
      <w:r w:rsidRPr="00830403">
        <w:rPr>
          <w:sz w:val="28"/>
          <w:szCs w:val="28"/>
        </w:rPr>
        <w:t xml:space="preserve"> held on Thursday </w:t>
      </w:r>
      <w:r w:rsidR="008255C0" w:rsidRPr="00830403">
        <w:rPr>
          <w:sz w:val="28"/>
          <w:szCs w:val="28"/>
        </w:rPr>
        <w:t xml:space="preserve">10th July </w:t>
      </w:r>
      <w:r w:rsidRPr="00830403">
        <w:rPr>
          <w:sz w:val="28"/>
          <w:szCs w:val="28"/>
        </w:rPr>
        <w:t>2025 in St Margaret`s Church, Paston</w:t>
      </w:r>
      <w:r w:rsidR="008255C0" w:rsidRPr="00830403">
        <w:rPr>
          <w:sz w:val="28"/>
          <w:szCs w:val="28"/>
        </w:rPr>
        <w:t>.</w:t>
      </w:r>
    </w:p>
    <w:p w14:paraId="3BE7BAEB" w14:textId="200B0E5B" w:rsidR="00536467" w:rsidRPr="00830403" w:rsidRDefault="00C677A3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 xml:space="preserve">Present:  Nick Bardswell (chairman), Ashlee Cotter (Vice-Chairman) Maggie Brett, Jessel Manricks, </w:t>
      </w:r>
      <w:r w:rsidR="00A56CD4" w:rsidRPr="00830403">
        <w:rPr>
          <w:sz w:val="28"/>
          <w:szCs w:val="28"/>
        </w:rPr>
        <w:t>Boo Tumber,, Dee Holroyd (Clerk)</w:t>
      </w:r>
      <w:r w:rsidR="001252AE" w:rsidRPr="00830403">
        <w:rPr>
          <w:sz w:val="28"/>
          <w:szCs w:val="28"/>
        </w:rPr>
        <w:t>. One member of the public.</w:t>
      </w:r>
    </w:p>
    <w:p w14:paraId="20411808" w14:textId="77777777" w:rsidR="00C4549B" w:rsidRPr="00830403" w:rsidRDefault="00C4549B" w:rsidP="003625B5">
      <w:pPr>
        <w:rPr>
          <w:sz w:val="28"/>
          <w:szCs w:val="28"/>
        </w:rPr>
      </w:pPr>
    </w:p>
    <w:p w14:paraId="16AD8F9A" w14:textId="02F98BB3" w:rsidR="009271BF" w:rsidRPr="00830403" w:rsidRDefault="003625B5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1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APOLOGIES FOR ABSENCE</w:t>
      </w:r>
      <w:r w:rsidR="006C0CB5" w:rsidRPr="00830403">
        <w:rPr>
          <w:sz w:val="28"/>
          <w:szCs w:val="28"/>
        </w:rPr>
        <w:t>: Pip Clabon</w:t>
      </w:r>
      <w:r w:rsidR="00C91EA6" w:rsidRPr="00830403">
        <w:rPr>
          <w:sz w:val="28"/>
          <w:szCs w:val="28"/>
        </w:rPr>
        <w:t xml:space="preserve"> (harvesting)</w:t>
      </w:r>
      <w:r w:rsidR="006C0CB5" w:rsidRPr="00830403">
        <w:rPr>
          <w:sz w:val="28"/>
          <w:szCs w:val="28"/>
        </w:rPr>
        <w:t xml:space="preserve"> Denise McKeough</w:t>
      </w:r>
    </w:p>
    <w:p w14:paraId="1B6AB9E6" w14:textId="1E516781" w:rsidR="009271BF" w:rsidRPr="00830403" w:rsidRDefault="003625B5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2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COUNCILLORS’ REPORTS</w:t>
      </w:r>
      <w:r w:rsidR="009271BF" w:rsidRPr="00830403">
        <w:rPr>
          <w:sz w:val="28"/>
          <w:szCs w:val="28"/>
        </w:rPr>
        <w:t>: Ed Maxfield (NCC)  and Pauline Porter (NNDC)</w:t>
      </w:r>
      <w:r w:rsidR="006C0CB5" w:rsidRPr="00830403">
        <w:rPr>
          <w:sz w:val="28"/>
          <w:szCs w:val="28"/>
        </w:rPr>
        <w:t xml:space="preserve"> were not present but EM had send his report which had ben circulated.</w:t>
      </w:r>
    </w:p>
    <w:p w14:paraId="686A73CF" w14:textId="786B708E" w:rsidR="009271BF" w:rsidRPr="00830403" w:rsidRDefault="003625B5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3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CIVIL NUCLEAR CONSTABULARY</w:t>
      </w:r>
      <w:r w:rsidR="009271BF" w:rsidRPr="00830403">
        <w:rPr>
          <w:sz w:val="28"/>
          <w:szCs w:val="28"/>
        </w:rPr>
        <w:t>. PC Barrie Cresswell</w:t>
      </w:r>
      <w:r w:rsidR="006C0CB5" w:rsidRPr="00830403">
        <w:rPr>
          <w:sz w:val="28"/>
          <w:szCs w:val="28"/>
        </w:rPr>
        <w:t>, was not present</w:t>
      </w:r>
    </w:p>
    <w:p w14:paraId="56E9C26F" w14:textId="7CC3603A" w:rsidR="009271BF" w:rsidRPr="00830403" w:rsidRDefault="003625B5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4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DECLARATIONS OF INTEREST</w:t>
      </w:r>
      <w:r w:rsidR="006C0CB5" w:rsidRPr="00830403">
        <w:rPr>
          <w:sz w:val="28"/>
          <w:szCs w:val="28"/>
        </w:rPr>
        <w:t>: none</w:t>
      </w:r>
    </w:p>
    <w:p w14:paraId="60D50E4A" w14:textId="2639870E" w:rsidR="009271BF" w:rsidRPr="00830403" w:rsidRDefault="00C4549B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5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MINUTES</w:t>
      </w:r>
      <w:r w:rsidR="009271BF" w:rsidRPr="00830403">
        <w:rPr>
          <w:sz w:val="28"/>
          <w:szCs w:val="28"/>
        </w:rPr>
        <w:t xml:space="preserve"> of </w:t>
      </w:r>
      <w:r w:rsidR="0059464A" w:rsidRPr="00830403">
        <w:rPr>
          <w:sz w:val="28"/>
          <w:szCs w:val="28"/>
        </w:rPr>
        <w:t xml:space="preserve">Parish Council annual </w:t>
      </w:r>
      <w:r w:rsidR="009271BF" w:rsidRPr="00830403">
        <w:rPr>
          <w:sz w:val="28"/>
          <w:szCs w:val="28"/>
        </w:rPr>
        <w:t>meeting held on 10th July</w:t>
      </w:r>
      <w:r w:rsidR="0059464A" w:rsidRPr="00830403">
        <w:rPr>
          <w:sz w:val="28"/>
          <w:szCs w:val="28"/>
        </w:rPr>
        <w:t xml:space="preserve"> were agreed</w:t>
      </w:r>
      <w:r w:rsidR="0017769D" w:rsidRPr="00830403">
        <w:rPr>
          <w:sz w:val="28"/>
          <w:szCs w:val="28"/>
        </w:rPr>
        <w:t xml:space="preserve"> with one small amendment,</w:t>
      </w:r>
      <w:r w:rsidR="0059464A" w:rsidRPr="00830403">
        <w:rPr>
          <w:sz w:val="28"/>
          <w:szCs w:val="28"/>
        </w:rPr>
        <w:t xml:space="preserve"> and signed by the chairman.  Proposed AC, seconded </w:t>
      </w:r>
      <w:r w:rsidR="00C96293" w:rsidRPr="00830403">
        <w:rPr>
          <w:sz w:val="28"/>
          <w:szCs w:val="28"/>
        </w:rPr>
        <w:t>BT.</w:t>
      </w:r>
    </w:p>
    <w:p w14:paraId="68921149" w14:textId="1F98A5DF" w:rsidR="009271BF" w:rsidRPr="00830403" w:rsidRDefault="003625B5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6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MATTERS ARISING</w:t>
      </w:r>
      <w:r w:rsidR="009271BF" w:rsidRPr="00830403">
        <w:rPr>
          <w:sz w:val="28"/>
          <w:szCs w:val="28"/>
        </w:rPr>
        <w:t xml:space="preserve">:  </w:t>
      </w:r>
      <w:r w:rsidR="00C96293" w:rsidRPr="00830403">
        <w:rPr>
          <w:sz w:val="28"/>
          <w:szCs w:val="28"/>
        </w:rPr>
        <w:t>verge cutting in Bears Road.  This had been done e</w:t>
      </w:r>
      <w:r w:rsidR="004D4C97" w:rsidRPr="00830403">
        <w:rPr>
          <w:sz w:val="28"/>
          <w:szCs w:val="28"/>
        </w:rPr>
        <w:t>xtremely well by Gordon Brett, Highways having failed</w:t>
      </w:r>
      <w:r w:rsidR="007C5D4F" w:rsidRPr="00830403">
        <w:rPr>
          <w:sz w:val="28"/>
          <w:szCs w:val="28"/>
        </w:rPr>
        <w:t xml:space="preserve"> to achieve a good result.</w:t>
      </w:r>
      <w:r w:rsidR="004D4C97" w:rsidRPr="00830403">
        <w:rPr>
          <w:sz w:val="28"/>
          <w:szCs w:val="28"/>
        </w:rPr>
        <w:t>.</w:t>
      </w:r>
    </w:p>
    <w:p w14:paraId="46AE06A5" w14:textId="5719256D" w:rsidR="009271BF" w:rsidRPr="00830403" w:rsidRDefault="00C4549B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7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PLANNING</w:t>
      </w:r>
      <w:r w:rsidR="009271BF" w:rsidRPr="00830403">
        <w:rPr>
          <w:sz w:val="28"/>
          <w:szCs w:val="28"/>
        </w:rPr>
        <w:t xml:space="preserve">: </w:t>
      </w:r>
      <w:r w:rsidR="004D4C97" w:rsidRPr="00830403">
        <w:rPr>
          <w:sz w:val="28"/>
          <w:szCs w:val="28"/>
        </w:rPr>
        <w:t xml:space="preserve"> </w:t>
      </w:r>
      <w:r w:rsidR="008263F4" w:rsidRPr="00830403">
        <w:rPr>
          <w:sz w:val="28"/>
          <w:szCs w:val="28"/>
        </w:rPr>
        <w:t>Mundesley Holiday Village</w:t>
      </w:r>
      <w:r w:rsidR="00FC0FFB" w:rsidRPr="00830403">
        <w:rPr>
          <w:sz w:val="28"/>
          <w:szCs w:val="28"/>
        </w:rPr>
        <w:t xml:space="preserve">. </w:t>
      </w:r>
      <w:r w:rsidR="003625B5" w:rsidRPr="00830403">
        <w:rPr>
          <w:sz w:val="28"/>
          <w:szCs w:val="28"/>
        </w:rPr>
        <w:t>When the enforcement officer inspected he had seen the LNG tanks for which there was no planning permission.  A</w:t>
      </w:r>
      <w:r w:rsidR="007E3A7F">
        <w:rPr>
          <w:sz w:val="28"/>
          <w:szCs w:val="28"/>
        </w:rPr>
        <w:t>pproval was granted on a</w:t>
      </w:r>
      <w:r w:rsidR="003625B5" w:rsidRPr="00830403">
        <w:rPr>
          <w:sz w:val="28"/>
          <w:szCs w:val="28"/>
        </w:rPr>
        <w:t xml:space="preserve"> retrospective application  (to which the PPC did not object) subject to a hedge plan</w:t>
      </w:r>
      <w:r w:rsidR="007E3A7F">
        <w:rPr>
          <w:sz w:val="28"/>
          <w:szCs w:val="28"/>
        </w:rPr>
        <w:t>ting</w:t>
      </w:r>
      <w:r w:rsidR="003625B5" w:rsidRPr="00830403">
        <w:rPr>
          <w:sz w:val="28"/>
          <w:szCs w:val="28"/>
        </w:rPr>
        <w:t xml:space="preserve"> condition required by the landscape officer</w:t>
      </w:r>
      <w:r w:rsidR="00E77981" w:rsidRPr="00830403">
        <w:rPr>
          <w:sz w:val="28"/>
          <w:szCs w:val="28"/>
        </w:rPr>
        <w:t xml:space="preserve">  </w:t>
      </w:r>
      <w:r w:rsidR="00FC0FFB" w:rsidRPr="00830403">
        <w:rPr>
          <w:sz w:val="28"/>
          <w:szCs w:val="28"/>
        </w:rPr>
        <w:t xml:space="preserve"> The P</w:t>
      </w:r>
      <w:r w:rsidR="003625B5" w:rsidRPr="00830403">
        <w:rPr>
          <w:sz w:val="28"/>
          <w:szCs w:val="28"/>
        </w:rPr>
        <w:t>P</w:t>
      </w:r>
      <w:r w:rsidR="00DA5DE8" w:rsidRPr="00830403">
        <w:rPr>
          <w:sz w:val="28"/>
          <w:szCs w:val="28"/>
        </w:rPr>
        <w:t>C</w:t>
      </w:r>
      <w:r w:rsidR="00FC0FFB" w:rsidRPr="00830403">
        <w:rPr>
          <w:sz w:val="28"/>
          <w:szCs w:val="28"/>
        </w:rPr>
        <w:t xml:space="preserve"> </w:t>
      </w:r>
      <w:r w:rsidR="00020829" w:rsidRPr="00830403">
        <w:rPr>
          <w:sz w:val="28"/>
          <w:szCs w:val="28"/>
        </w:rPr>
        <w:t>ha</w:t>
      </w:r>
      <w:r w:rsidR="003625B5" w:rsidRPr="00830403">
        <w:rPr>
          <w:sz w:val="28"/>
          <w:szCs w:val="28"/>
        </w:rPr>
        <w:t xml:space="preserve">d pointed out that there remained an ongoing breach as consent had not been given for storage and dumping of building materials </w:t>
      </w:r>
      <w:r w:rsidR="007E3A7F">
        <w:rPr>
          <w:sz w:val="28"/>
          <w:szCs w:val="28"/>
        </w:rPr>
        <w:t>which was continuing.</w:t>
      </w:r>
    </w:p>
    <w:p w14:paraId="47F279F6" w14:textId="77777777" w:rsidR="007E3A7F" w:rsidRDefault="007E3A7F" w:rsidP="003625B5">
      <w:pPr>
        <w:rPr>
          <w:sz w:val="28"/>
          <w:szCs w:val="28"/>
        </w:rPr>
      </w:pPr>
    </w:p>
    <w:p w14:paraId="22833BC4" w14:textId="77777777" w:rsidR="007E3A7F" w:rsidRDefault="007E3A7F" w:rsidP="003625B5">
      <w:pPr>
        <w:rPr>
          <w:sz w:val="28"/>
          <w:szCs w:val="28"/>
        </w:rPr>
      </w:pPr>
    </w:p>
    <w:p w14:paraId="1D41BBB7" w14:textId="3C3D9B7F" w:rsidR="009271BF" w:rsidRPr="00830403" w:rsidRDefault="00C4549B" w:rsidP="003625B5">
      <w:pPr>
        <w:rPr>
          <w:b/>
          <w:bCs/>
          <w:sz w:val="28"/>
          <w:szCs w:val="28"/>
        </w:rPr>
      </w:pPr>
      <w:r w:rsidRPr="00830403">
        <w:rPr>
          <w:sz w:val="28"/>
          <w:szCs w:val="28"/>
        </w:rPr>
        <w:lastRenderedPageBreak/>
        <w:t>8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PARISH COUNCILLOR`S REPORTS</w:t>
      </w:r>
    </w:p>
    <w:p w14:paraId="52AD68FC" w14:textId="28944885" w:rsidR="00E63FDC" w:rsidRPr="00830403" w:rsidRDefault="00E63FDC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 xml:space="preserve">MB asked about </w:t>
      </w:r>
      <w:r w:rsidR="00C91EA6" w:rsidRPr="00830403">
        <w:rPr>
          <w:sz w:val="28"/>
          <w:szCs w:val="28"/>
        </w:rPr>
        <w:t xml:space="preserve">the </w:t>
      </w:r>
      <w:r w:rsidR="00C4549B" w:rsidRPr="00830403">
        <w:rPr>
          <w:sz w:val="28"/>
          <w:szCs w:val="28"/>
        </w:rPr>
        <w:t>water</w:t>
      </w:r>
      <w:r w:rsidR="00C91EA6" w:rsidRPr="00830403">
        <w:rPr>
          <w:sz w:val="28"/>
          <w:szCs w:val="28"/>
        </w:rPr>
        <w:t xml:space="preserve"> primrose </w:t>
      </w:r>
      <w:r w:rsidRPr="00830403">
        <w:rPr>
          <w:sz w:val="28"/>
          <w:szCs w:val="28"/>
        </w:rPr>
        <w:t>which had invaded the pond</w:t>
      </w:r>
      <w:r w:rsidR="009E2750" w:rsidRPr="00830403">
        <w:rPr>
          <w:sz w:val="28"/>
          <w:szCs w:val="28"/>
        </w:rPr>
        <w:t xml:space="preserve">.  It </w:t>
      </w:r>
      <w:r w:rsidR="00C4549B" w:rsidRPr="00830403">
        <w:rPr>
          <w:sz w:val="28"/>
          <w:szCs w:val="28"/>
        </w:rPr>
        <w:t>was</w:t>
      </w:r>
      <w:r w:rsidR="009E2750" w:rsidRPr="00830403">
        <w:rPr>
          <w:sz w:val="28"/>
          <w:szCs w:val="28"/>
        </w:rPr>
        <w:t xml:space="preserve"> be</w:t>
      </w:r>
      <w:r w:rsidR="00C4549B" w:rsidRPr="00830403">
        <w:rPr>
          <w:sz w:val="28"/>
          <w:szCs w:val="28"/>
        </w:rPr>
        <w:t>ing</w:t>
      </w:r>
      <w:r w:rsidR="009E2750" w:rsidRPr="00830403">
        <w:rPr>
          <w:sz w:val="28"/>
          <w:szCs w:val="28"/>
        </w:rPr>
        <w:t xml:space="preserve"> sprayed </w:t>
      </w:r>
      <w:r w:rsidR="003625B5" w:rsidRPr="00830403">
        <w:rPr>
          <w:sz w:val="28"/>
          <w:szCs w:val="28"/>
        </w:rPr>
        <w:t xml:space="preserve">hopefully to eradicate it </w:t>
      </w:r>
      <w:r w:rsidR="009E2750" w:rsidRPr="00830403">
        <w:rPr>
          <w:sz w:val="28"/>
          <w:szCs w:val="28"/>
        </w:rPr>
        <w:t xml:space="preserve">and people had been asked </w:t>
      </w:r>
      <w:r w:rsidR="009C2E05" w:rsidRPr="00830403">
        <w:rPr>
          <w:sz w:val="28"/>
          <w:szCs w:val="28"/>
        </w:rPr>
        <w:t>not to walk near</w:t>
      </w:r>
      <w:r w:rsidR="009E2750" w:rsidRPr="00830403">
        <w:rPr>
          <w:sz w:val="28"/>
          <w:szCs w:val="28"/>
        </w:rPr>
        <w:t xml:space="preserve"> at the edge of the pond to avoid spreading the plant.</w:t>
      </w:r>
    </w:p>
    <w:p w14:paraId="4DEFABC9" w14:textId="2C112670" w:rsidR="007579FA" w:rsidRPr="00830403" w:rsidRDefault="007579FA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 xml:space="preserve">BT asked why the </w:t>
      </w:r>
      <w:r w:rsidR="00F11E9D" w:rsidRPr="00830403">
        <w:rPr>
          <w:sz w:val="28"/>
          <w:szCs w:val="28"/>
        </w:rPr>
        <w:t>tarmac round the phone box had been painted white.</w:t>
      </w:r>
    </w:p>
    <w:p w14:paraId="51914620" w14:textId="7ABDB0D8" w:rsidR="00C4549B" w:rsidRPr="00830403" w:rsidRDefault="003625B5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 xml:space="preserve">NB said </w:t>
      </w:r>
      <w:r w:rsidR="00830403" w:rsidRPr="00830403">
        <w:rPr>
          <w:sz w:val="28"/>
          <w:szCs w:val="28"/>
        </w:rPr>
        <w:t>how best to deal with the damp in the</w:t>
      </w:r>
      <w:r w:rsidRPr="00830403">
        <w:rPr>
          <w:sz w:val="28"/>
          <w:szCs w:val="28"/>
        </w:rPr>
        <w:t xml:space="preserve"> alms</w:t>
      </w:r>
      <w:r w:rsidR="007E3A7F">
        <w:rPr>
          <w:sz w:val="28"/>
          <w:szCs w:val="28"/>
        </w:rPr>
        <w:t xml:space="preserve"> </w:t>
      </w:r>
      <w:r w:rsidRPr="00830403">
        <w:rPr>
          <w:sz w:val="28"/>
          <w:szCs w:val="28"/>
        </w:rPr>
        <w:t>houses w</w:t>
      </w:r>
      <w:r w:rsidR="00830403" w:rsidRPr="00830403">
        <w:rPr>
          <w:sz w:val="28"/>
          <w:szCs w:val="28"/>
        </w:rPr>
        <w:t>as</w:t>
      </w:r>
      <w:r w:rsidRPr="00830403">
        <w:rPr>
          <w:sz w:val="28"/>
          <w:szCs w:val="28"/>
        </w:rPr>
        <w:t xml:space="preserve"> </w:t>
      </w:r>
      <w:r w:rsidR="00830403" w:rsidRPr="00830403">
        <w:rPr>
          <w:sz w:val="28"/>
          <w:szCs w:val="28"/>
        </w:rPr>
        <w:t>subject of discussions between surveyor and builder.</w:t>
      </w:r>
    </w:p>
    <w:p w14:paraId="7DCB11CD" w14:textId="34ACCF1F" w:rsidR="009271BF" w:rsidRPr="00830403" w:rsidRDefault="00830403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>9</w:t>
      </w:r>
      <w:r w:rsidRPr="00830403">
        <w:rPr>
          <w:sz w:val="28"/>
          <w:szCs w:val="28"/>
        </w:rPr>
        <w:tab/>
      </w:r>
      <w:r w:rsidR="009271BF" w:rsidRPr="00830403">
        <w:rPr>
          <w:b/>
          <w:bCs/>
          <w:sz w:val="28"/>
          <w:szCs w:val="28"/>
        </w:rPr>
        <w:t>FINANCIAL REPORT</w:t>
      </w:r>
      <w:r w:rsidR="007E3A7F">
        <w:rPr>
          <w:b/>
          <w:bCs/>
          <w:sz w:val="28"/>
          <w:szCs w:val="28"/>
        </w:rPr>
        <w:t>;</w:t>
      </w:r>
      <w:r w:rsidR="008255C0" w:rsidRPr="00830403">
        <w:rPr>
          <w:sz w:val="28"/>
          <w:szCs w:val="28"/>
        </w:rPr>
        <w:t xml:space="preserve"> </w:t>
      </w:r>
      <w:r w:rsidR="00002C62" w:rsidRPr="00830403">
        <w:rPr>
          <w:sz w:val="28"/>
          <w:szCs w:val="28"/>
        </w:rPr>
        <w:t xml:space="preserve">  the bank reconciliation </w:t>
      </w:r>
      <w:r w:rsidR="00C159AB" w:rsidRPr="00830403">
        <w:rPr>
          <w:sz w:val="28"/>
          <w:szCs w:val="28"/>
        </w:rPr>
        <w:t xml:space="preserve">showing a balance of 12, 107.15 and </w:t>
      </w:r>
      <w:r w:rsidR="00002C62" w:rsidRPr="00830403">
        <w:rPr>
          <w:sz w:val="28"/>
          <w:szCs w:val="28"/>
        </w:rPr>
        <w:t>dated 30/06/2025 was signed by the chairman</w:t>
      </w:r>
      <w:r w:rsidR="00C159AB" w:rsidRPr="00830403">
        <w:rPr>
          <w:sz w:val="28"/>
          <w:szCs w:val="28"/>
        </w:rPr>
        <w:t>.  Expenditure since the May meeting was:</w:t>
      </w:r>
    </w:p>
    <w:tbl>
      <w:tblPr>
        <w:tblW w:w="141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590"/>
        <w:gridCol w:w="2126"/>
        <w:gridCol w:w="2126"/>
        <w:gridCol w:w="284"/>
        <w:gridCol w:w="283"/>
        <w:gridCol w:w="249"/>
        <w:gridCol w:w="1032"/>
        <w:gridCol w:w="1032"/>
        <w:gridCol w:w="1032"/>
        <w:gridCol w:w="1032"/>
        <w:gridCol w:w="1032"/>
        <w:gridCol w:w="1272"/>
        <w:gridCol w:w="1096"/>
      </w:tblGrid>
      <w:tr w:rsidR="00CF596E" w:rsidRPr="00830403" w14:paraId="3C220877" w14:textId="77777777" w:rsidTr="00BD31A4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1C56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21/05/2025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F06D" w14:textId="3387BE73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Unity</w:t>
            </w:r>
            <w:r w:rsidR="0032593F">
              <w:rPr>
                <w:sz w:val="24"/>
                <w:szCs w:val="24"/>
              </w:rPr>
              <w:t xml:space="preserve"> Bank charge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4FA0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6.00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98A5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E4E2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7E01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C647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6A6F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998" w14:textId="4EE888AF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0AD1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284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E60D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638E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</w:tr>
      <w:tr w:rsidR="00CF596E" w:rsidRPr="00830403" w14:paraId="24D5D166" w14:textId="77777777" w:rsidTr="00BD31A4">
        <w:trPr>
          <w:trHeight w:val="31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9AD2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02/06/2025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18BE" w14:textId="7409EECD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Busines Serv</w:t>
            </w:r>
            <w:r w:rsidR="00830403">
              <w:rPr>
                <w:sz w:val="24"/>
                <w:szCs w:val="24"/>
              </w:rPr>
              <w:t>-insurance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228B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453.88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F48D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BF0F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6343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DFBF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9D7E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D565" w14:textId="49D08D3F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6FBD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7CA8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E817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7087" w14:textId="77777777" w:rsidR="00CF596E" w:rsidRPr="00830403" w:rsidRDefault="00CF596E" w:rsidP="003625B5">
            <w:pPr>
              <w:rPr>
                <w:sz w:val="28"/>
                <w:szCs w:val="28"/>
              </w:rPr>
            </w:pPr>
            <w:r w:rsidRPr="00830403">
              <w:rPr>
                <w:sz w:val="28"/>
                <w:szCs w:val="28"/>
              </w:rPr>
              <w:t>insurance</w:t>
            </w:r>
          </w:p>
        </w:tc>
      </w:tr>
      <w:tr w:rsidR="00CF596E" w:rsidRPr="00830403" w14:paraId="74528E28" w14:textId="77777777" w:rsidTr="00BD31A4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EE54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02/06/2025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CFCD" w14:textId="3FE9323B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Roger Can</w:t>
            </w:r>
            <w:r w:rsidR="00830403">
              <w:rPr>
                <w:sz w:val="24"/>
                <w:szCs w:val="24"/>
              </w:rPr>
              <w:t>well</w:t>
            </w:r>
            <w:r w:rsidR="0032593F">
              <w:rPr>
                <w:sz w:val="24"/>
                <w:szCs w:val="24"/>
              </w:rPr>
              <w:t xml:space="preserve"> = examiner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C9A8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25.00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83C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8658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C1ED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608F" w14:textId="60C78466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4862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A9CB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DAEA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1AC0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0621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D350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</w:tr>
      <w:tr w:rsidR="00CF596E" w:rsidRPr="00830403" w14:paraId="33C4A546" w14:textId="77777777" w:rsidTr="00BD31A4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9C87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B497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BP Power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04FB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111.98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0267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EE94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7058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ABDF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63EE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53BE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4EED" w14:textId="612F2714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CF10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780B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3906" w14:textId="77777777" w:rsidR="00CF596E" w:rsidRPr="00830403" w:rsidRDefault="00CF596E" w:rsidP="003625B5">
            <w:pPr>
              <w:rPr>
                <w:sz w:val="28"/>
                <w:szCs w:val="28"/>
              </w:rPr>
            </w:pPr>
            <w:r w:rsidRPr="00830403">
              <w:rPr>
                <w:sz w:val="28"/>
                <w:szCs w:val="28"/>
              </w:rPr>
              <w:t>St light</w:t>
            </w:r>
          </w:p>
        </w:tc>
      </w:tr>
      <w:tr w:rsidR="00CF596E" w:rsidRPr="00830403" w14:paraId="5DD9E3E3" w14:textId="77777777" w:rsidTr="00BD31A4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3F48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11/06/2025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6042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HMRC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992C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42.20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F49E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1DC1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2C1D" w14:textId="68FB04ED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1473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574C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B814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BD51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B566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F641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DA2D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</w:tr>
      <w:tr w:rsidR="00CF596E" w:rsidRPr="00830403" w14:paraId="1266B3B5" w14:textId="77777777" w:rsidTr="00BD31A4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58E7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5CCD" w14:textId="74AC01F3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D C Holroyd</w:t>
            </w:r>
            <w:r w:rsidR="00BD31A4">
              <w:rPr>
                <w:sz w:val="24"/>
                <w:szCs w:val="24"/>
              </w:rPr>
              <w:t xml:space="preserve"> salary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F7DD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278.80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DFDC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717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C1BA" w14:textId="691E41DE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C448" w14:textId="00F8F010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AB1E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50C7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A295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0220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50D9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A320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</w:tr>
      <w:tr w:rsidR="00CF596E" w:rsidRPr="00830403" w14:paraId="7E95EECC" w14:textId="77777777" w:rsidTr="00BD31A4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D942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30/06/2025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7CCA" w14:textId="716644CD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Unity</w:t>
            </w:r>
            <w:r w:rsidR="0032593F">
              <w:rPr>
                <w:sz w:val="24"/>
                <w:szCs w:val="24"/>
              </w:rPr>
              <w:t xml:space="preserve"> Ban</w:t>
            </w:r>
            <w:r w:rsidR="00BD31A4">
              <w:rPr>
                <w:sz w:val="24"/>
                <w:szCs w:val="24"/>
              </w:rPr>
              <w:t xml:space="preserve">k </w:t>
            </w:r>
            <w:r w:rsidR="0032593F">
              <w:rPr>
                <w:sz w:val="24"/>
                <w:szCs w:val="24"/>
              </w:rPr>
              <w:t>charge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139E" w14:textId="77777777" w:rsidR="00CF596E" w:rsidRPr="00830403" w:rsidRDefault="00CF596E" w:rsidP="003625B5">
            <w:pPr>
              <w:rPr>
                <w:sz w:val="24"/>
                <w:szCs w:val="24"/>
              </w:rPr>
            </w:pPr>
            <w:r w:rsidRPr="00830403">
              <w:rPr>
                <w:sz w:val="24"/>
                <w:szCs w:val="24"/>
              </w:rPr>
              <w:t>6.00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841D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4612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EBD7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85FF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8140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2028" w14:textId="48D1DA5C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894E" w14:textId="77777777" w:rsidR="00CF596E" w:rsidRPr="00830403" w:rsidRDefault="00CF596E" w:rsidP="003625B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48F5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ADC0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9B48" w14:textId="77777777" w:rsidR="00CF596E" w:rsidRPr="00830403" w:rsidRDefault="00CF596E" w:rsidP="003625B5">
            <w:pPr>
              <w:rPr>
                <w:sz w:val="28"/>
                <w:szCs w:val="28"/>
              </w:rPr>
            </w:pPr>
          </w:p>
        </w:tc>
      </w:tr>
    </w:tbl>
    <w:p w14:paraId="4125CEAA" w14:textId="77777777" w:rsidR="00C159AB" w:rsidRPr="00830403" w:rsidRDefault="00C159AB" w:rsidP="003625B5">
      <w:pPr>
        <w:rPr>
          <w:sz w:val="28"/>
          <w:szCs w:val="28"/>
        </w:rPr>
      </w:pPr>
    </w:p>
    <w:p w14:paraId="7276D9C2" w14:textId="0A5FCC30" w:rsidR="009271BF" w:rsidRPr="00830403" w:rsidRDefault="009271BF" w:rsidP="003625B5">
      <w:pPr>
        <w:rPr>
          <w:sz w:val="28"/>
          <w:szCs w:val="28"/>
        </w:rPr>
      </w:pPr>
      <w:r w:rsidRPr="00830403">
        <w:rPr>
          <w:sz w:val="28"/>
          <w:szCs w:val="28"/>
        </w:rPr>
        <w:t xml:space="preserve"> </w:t>
      </w:r>
      <w:r w:rsidR="00830403" w:rsidRPr="00830403">
        <w:rPr>
          <w:sz w:val="28"/>
          <w:szCs w:val="28"/>
        </w:rPr>
        <w:t>10</w:t>
      </w:r>
      <w:r w:rsidR="00830403" w:rsidRPr="00830403">
        <w:rPr>
          <w:sz w:val="28"/>
          <w:szCs w:val="28"/>
        </w:rPr>
        <w:tab/>
      </w:r>
      <w:r w:rsidRPr="00830403">
        <w:rPr>
          <w:b/>
          <w:bCs/>
          <w:sz w:val="28"/>
          <w:szCs w:val="28"/>
        </w:rPr>
        <w:t>DATE OF NEXT MEETING:</w:t>
      </w:r>
      <w:r w:rsidRPr="00830403">
        <w:rPr>
          <w:sz w:val="28"/>
          <w:szCs w:val="28"/>
        </w:rPr>
        <w:t xml:space="preserve"> </w:t>
      </w:r>
      <w:r w:rsidR="00D113AE" w:rsidRPr="00830403">
        <w:rPr>
          <w:sz w:val="28"/>
          <w:szCs w:val="28"/>
        </w:rPr>
        <w:t>Thursday 4th September</w:t>
      </w:r>
    </w:p>
    <w:sectPr w:rsidR="009271BF" w:rsidRPr="00830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E04E6"/>
    <w:multiLevelType w:val="hybridMultilevel"/>
    <w:tmpl w:val="8FFEA340"/>
    <w:lvl w:ilvl="0" w:tplc="DC0E7E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97E"/>
    <w:multiLevelType w:val="hybridMultilevel"/>
    <w:tmpl w:val="4384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3F1"/>
    <w:multiLevelType w:val="hybridMultilevel"/>
    <w:tmpl w:val="92FA02C6"/>
    <w:lvl w:ilvl="0" w:tplc="FF340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0848"/>
    <w:multiLevelType w:val="hybridMultilevel"/>
    <w:tmpl w:val="E97CDC9A"/>
    <w:lvl w:ilvl="0" w:tplc="A93031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59060">
    <w:abstractNumId w:val="1"/>
  </w:num>
  <w:num w:numId="2" w16cid:durableId="1286038240">
    <w:abstractNumId w:val="0"/>
  </w:num>
  <w:num w:numId="3" w16cid:durableId="1350794601">
    <w:abstractNumId w:val="2"/>
  </w:num>
  <w:num w:numId="4" w16cid:durableId="1719165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F"/>
    <w:rsid w:val="00002C62"/>
    <w:rsid w:val="00020829"/>
    <w:rsid w:val="00071B38"/>
    <w:rsid w:val="00093676"/>
    <w:rsid w:val="001252AE"/>
    <w:rsid w:val="00161919"/>
    <w:rsid w:val="0017769D"/>
    <w:rsid w:val="00186986"/>
    <w:rsid w:val="001A162F"/>
    <w:rsid w:val="0025164F"/>
    <w:rsid w:val="00260E16"/>
    <w:rsid w:val="0026474C"/>
    <w:rsid w:val="00267159"/>
    <w:rsid w:val="0032593F"/>
    <w:rsid w:val="003625B5"/>
    <w:rsid w:val="00375373"/>
    <w:rsid w:val="003B3F9E"/>
    <w:rsid w:val="00406717"/>
    <w:rsid w:val="00446069"/>
    <w:rsid w:val="004714AA"/>
    <w:rsid w:val="004D4C97"/>
    <w:rsid w:val="00507910"/>
    <w:rsid w:val="00526044"/>
    <w:rsid w:val="00536467"/>
    <w:rsid w:val="0059464A"/>
    <w:rsid w:val="00676A66"/>
    <w:rsid w:val="006C0CB5"/>
    <w:rsid w:val="007579FA"/>
    <w:rsid w:val="007B5A70"/>
    <w:rsid w:val="007C5D4F"/>
    <w:rsid w:val="007E3A7F"/>
    <w:rsid w:val="008255C0"/>
    <w:rsid w:val="008263F4"/>
    <w:rsid w:val="00830403"/>
    <w:rsid w:val="00880E24"/>
    <w:rsid w:val="008A2B4E"/>
    <w:rsid w:val="008D0F7B"/>
    <w:rsid w:val="009271BF"/>
    <w:rsid w:val="009C2E05"/>
    <w:rsid w:val="009E2750"/>
    <w:rsid w:val="00A56CD4"/>
    <w:rsid w:val="00AD6FC3"/>
    <w:rsid w:val="00BD31A4"/>
    <w:rsid w:val="00C159AB"/>
    <w:rsid w:val="00C3279B"/>
    <w:rsid w:val="00C4549B"/>
    <w:rsid w:val="00C677A3"/>
    <w:rsid w:val="00C91EA6"/>
    <w:rsid w:val="00C93822"/>
    <w:rsid w:val="00C96293"/>
    <w:rsid w:val="00CF596E"/>
    <w:rsid w:val="00D113AE"/>
    <w:rsid w:val="00DA5DE8"/>
    <w:rsid w:val="00DC3692"/>
    <w:rsid w:val="00DC5820"/>
    <w:rsid w:val="00E63FDC"/>
    <w:rsid w:val="00E77981"/>
    <w:rsid w:val="00EF2325"/>
    <w:rsid w:val="00F11E9D"/>
    <w:rsid w:val="00F62EC5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98B1"/>
  <w15:chartTrackingRefBased/>
  <w15:docId w15:val="{C8AA9F52-3B88-4ED1-9469-546EC0F6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BF"/>
    <w:pPr>
      <w:spacing w:after="200" w:line="276" w:lineRule="auto"/>
    </w:pPr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1BF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1BF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7</cp:revision>
  <dcterms:created xsi:type="dcterms:W3CDTF">2025-07-16T09:28:00Z</dcterms:created>
  <dcterms:modified xsi:type="dcterms:W3CDTF">2025-07-16T20:01:00Z</dcterms:modified>
</cp:coreProperties>
</file>